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0254D6B" wp14:paraId="15DD78C0" wp14:textId="35D187E8">
      <w:pPr>
        <w:spacing w:after="160" w:line="48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0254D6B" w:rsidR="0D7F96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Topic 4: </w:t>
      </w:r>
      <w:r w:rsidRPr="20254D6B" w:rsidR="402F4B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Staff, Community &amp; Family Collaboration to Address Implicit Bias</w:t>
      </w:r>
    </w:p>
    <w:p xmlns:wp14="http://schemas.microsoft.com/office/word/2010/wordml" w:rsidP="20254D6B" wp14:paraId="5E2F90C6" wp14:textId="0E0BD388">
      <w:pPr>
        <w:spacing w:after="160" w:line="48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010A6EA" w:rsidR="0D7F96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Frequently Asked Questions (FAQ)</w:t>
      </w:r>
    </w:p>
    <w:p w:rsidR="01163F1A" w:rsidP="6010A6EA" w:rsidRDefault="01163F1A" w14:paraId="7D255065" w14:textId="222C42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10A6EA" w:rsidR="01163F1A">
        <w:rPr>
          <w:sz w:val="24"/>
          <w:szCs w:val="24"/>
        </w:rPr>
        <w:t>How can implicit bias affect students?</w:t>
      </w:r>
    </w:p>
    <w:p w:rsidR="3B466F2D" w:rsidP="6010A6EA" w:rsidRDefault="3B466F2D" w14:paraId="69EFF845" w14:textId="1483D10D">
      <w:pPr>
        <w:pStyle w:val="Normal"/>
        <w:rPr>
          <w:sz w:val="24"/>
          <w:szCs w:val="24"/>
        </w:rPr>
      </w:pPr>
      <w:r w:rsidRPr="6010A6EA" w:rsidR="3B466F2D">
        <w:rPr>
          <w:sz w:val="24"/>
          <w:szCs w:val="24"/>
        </w:rPr>
        <w:t xml:space="preserve">Implicit biases become harmful when they affect decisions made about how children are treated at school. </w:t>
      </w:r>
      <w:r w:rsidRPr="6010A6EA" w:rsidR="7B8B6274">
        <w:rPr>
          <w:sz w:val="24"/>
          <w:szCs w:val="24"/>
        </w:rPr>
        <w:t>How students are treated in educational settings greatly impacts their chances of success in school and later in life.</w:t>
      </w:r>
    </w:p>
    <w:p w:rsidR="6852DE6B" w:rsidP="6010A6EA" w:rsidRDefault="6852DE6B" w14:paraId="36956D91" w14:textId="4972C9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10A6EA" w:rsidR="6852DE6B">
        <w:rPr>
          <w:sz w:val="24"/>
          <w:szCs w:val="24"/>
        </w:rPr>
        <w:t xml:space="preserve">What are some areas that must be examined </w:t>
      </w:r>
      <w:r w:rsidRPr="6010A6EA" w:rsidR="739AA52B">
        <w:rPr>
          <w:sz w:val="24"/>
          <w:szCs w:val="24"/>
        </w:rPr>
        <w:t xml:space="preserve">when looking at the </w:t>
      </w:r>
      <w:r w:rsidRPr="6010A6EA" w:rsidR="50B3E3EB">
        <w:rPr>
          <w:sz w:val="24"/>
          <w:szCs w:val="24"/>
        </w:rPr>
        <w:t xml:space="preserve">behavioral expectations of </w:t>
      </w:r>
      <w:r w:rsidRPr="6010A6EA" w:rsidR="50B3E3EB">
        <w:rPr>
          <w:sz w:val="24"/>
          <w:szCs w:val="24"/>
        </w:rPr>
        <w:t>st</w:t>
      </w:r>
      <w:r w:rsidRPr="6010A6EA" w:rsidR="50B3E3EB">
        <w:rPr>
          <w:sz w:val="24"/>
          <w:szCs w:val="24"/>
        </w:rPr>
        <w:t>udents with disabilities</w:t>
      </w:r>
      <w:r w:rsidRPr="6010A6EA" w:rsidR="337E50DE">
        <w:rPr>
          <w:sz w:val="24"/>
          <w:szCs w:val="24"/>
        </w:rPr>
        <w:t>?</w:t>
      </w:r>
    </w:p>
    <w:p w:rsidR="5257783F" w:rsidP="6010A6EA" w:rsidRDefault="5257783F" w14:paraId="2020A461" w14:textId="56047D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010A6EA" w:rsidR="5257783F">
        <w:rPr>
          <w:sz w:val="24"/>
          <w:szCs w:val="24"/>
        </w:rPr>
        <w:t>Staff member’s values related to equity and diversity</w:t>
      </w:r>
    </w:p>
    <w:p w:rsidR="5257783F" w:rsidP="6010A6EA" w:rsidRDefault="5257783F" w14:paraId="27116B41" w14:textId="101E7B4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010A6EA" w:rsidR="5257783F">
        <w:rPr>
          <w:sz w:val="24"/>
          <w:szCs w:val="24"/>
        </w:rPr>
        <w:t xml:space="preserve">Staff awareness of behavioral and social </w:t>
      </w:r>
      <w:r w:rsidRPr="6010A6EA" w:rsidR="31E9324D">
        <w:rPr>
          <w:sz w:val="24"/>
          <w:szCs w:val="24"/>
        </w:rPr>
        <w:t>differences in students</w:t>
      </w:r>
    </w:p>
    <w:p w:rsidR="5257783F" w:rsidP="6010A6EA" w:rsidRDefault="5257783F" w14:paraId="2A91B914" w14:textId="56B124B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010A6EA" w:rsidR="5257783F">
        <w:rPr>
          <w:sz w:val="24"/>
          <w:szCs w:val="24"/>
        </w:rPr>
        <w:t>Interpersonal communication and proble</w:t>
      </w:r>
      <w:r w:rsidRPr="6010A6EA" w:rsidR="1F3651AF">
        <w:rPr>
          <w:sz w:val="24"/>
          <w:szCs w:val="24"/>
        </w:rPr>
        <w:t xml:space="preserve">m </w:t>
      </w:r>
      <w:r w:rsidRPr="6010A6EA" w:rsidR="5257783F">
        <w:rPr>
          <w:sz w:val="24"/>
          <w:szCs w:val="24"/>
        </w:rPr>
        <w:t>solving</w:t>
      </w:r>
    </w:p>
    <w:p w:rsidR="5257783F" w:rsidP="6010A6EA" w:rsidRDefault="5257783F" w14:paraId="7F52634B" w14:textId="740BBC4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010A6EA" w:rsidR="5257783F">
        <w:rPr>
          <w:sz w:val="24"/>
          <w:szCs w:val="24"/>
        </w:rPr>
        <w:t>Top-down and bottom-up systems and processes</w:t>
      </w:r>
    </w:p>
    <w:p w:rsidR="25F6C917" w:rsidP="6010A6EA" w:rsidRDefault="25F6C917" w14:paraId="1CA51594" w14:textId="34856A2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010A6EA" w:rsidR="25F6C917">
        <w:rPr>
          <w:sz w:val="24"/>
          <w:szCs w:val="24"/>
        </w:rPr>
        <w:t>Staff collaboration in addressing student behavior</w:t>
      </w:r>
    </w:p>
    <w:p w:rsidR="2A7E46E4" w:rsidP="6010A6EA" w:rsidRDefault="2A7E46E4" w14:paraId="16C51445" w14:textId="05BF5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010A6EA" w:rsidR="2A7E46E4">
        <w:rPr>
          <w:sz w:val="24"/>
          <w:szCs w:val="24"/>
        </w:rPr>
        <w:t>How do we acknowledge our “blind spots?”</w:t>
      </w:r>
    </w:p>
    <w:p w:rsidR="2EE3E828" w:rsidP="6010A6EA" w:rsidRDefault="2EE3E828" w14:paraId="42F61A68" w14:textId="4D677E0F">
      <w:pPr>
        <w:pStyle w:val="Normal"/>
        <w:rPr>
          <w:sz w:val="24"/>
          <w:szCs w:val="24"/>
        </w:rPr>
      </w:pPr>
      <w:r w:rsidRPr="6010A6EA" w:rsidR="2EE3E828">
        <w:rPr>
          <w:sz w:val="24"/>
          <w:szCs w:val="24"/>
        </w:rPr>
        <w:t>We can start to acknowledge our blind spots by looking at behavioral expectations and the effects of the same expectations for all students across all school settings.</w:t>
      </w:r>
    </w:p>
    <w:p w:rsidR="0C86C0A5" w:rsidP="6010A6EA" w:rsidRDefault="0C86C0A5" w14:paraId="09CC8261" w14:textId="0F241C4B">
      <w:pPr>
        <w:pStyle w:val="Normal"/>
        <w:rPr>
          <w:sz w:val="24"/>
          <w:szCs w:val="24"/>
        </w:rPr>
      </w:pPr>
      <w:r w:rsidRPr="6010A6EA" w:rsidR="0C86C0A5">
        <w:rPr>
          <w:sz w:val="24"/>
          <w:szCs w:val="24"/>
        </w:rPr>
        <w:t>We can also learn and implement adjustments to align with stu</w:t>
      </w:r>
      <w:r w:rsidRPr="6010A6EA" w:rsidR="320BBEE2">
        <w:rPr>
          <w:sz w:val="24"/>
          <w:szCs w:val="24"/>
        </w:rPr>
        <w:t>dent</w:t>
      </w:r>
      <w:r w:rsidRPr="6010A6EA" w:rsidR="1595538C">
        <w:rPr>
          <w:sz w:val="24"/>
          <w:szCs w:val="24"/>
        </w:rPr>
        <w:t>’s background (culture, family, community).</w:t>
      </w:r>
    </w:p>
    <w:p w:rsidR="161985AE" w:rsidP="6010A6EA" w:rsidRDefault="161985AE" w14:paraId="37DAB0D4" w14:textId="3139DDC2">
      <w:pPr>
        <w:pStyle w:val="Normal"/>
        <w:rPr>
          <w:sz w:val="24"/>
          <w:szCs w:val="24"/>
        </w:rPr>
      </w:pPr>
      <w:r w:rsidRPr="6010A6EA" w:rsidR="161985AE">
        <w:rPr>
          <w:sz w:val="24"/>
          <w:szCs w:val="24"/>
        </w:rPr>
        <w:t>We can acknowledge bias/biases which cause lower expectations fo</w:t>
      </w:r>
      <w:r w:rsidRPr="6010A6EA" w:rsidR="5B250143">
        <w:rPr>
          <w:sz w:val="24"/>
          <w:szCs w:val="24"/>
        </w:rPr>
        <w:t>r some students, which often create results to match the bias.</w:t>
      </w:r>
    </w:p>
    <w:p w:rsidR="45BF3A9C" w:rsidP="6010A6EA" w:rsidRDefault="45BF3A9C" w14:paraId="2623B745" w14:textId="5402C00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6010A6EA" w:rsidR="45BF3A9C">
        <w:rPr>
          <w:sz w:val="24"/>
          <w:szCs w:val="24"/>
        </w:rPr>
        <w:t>Including the writing</w:t>
      </w:r>
      <w:r w:rsidRPr="6010A6EA" w:rsidR="04C0AD47">
        <w:rPr>
          <w:sz w:val="24"/>
          <w:szCs w:val="24"/>
        </w:rPr>
        <w:t xml:space="preserve"> and conducting of the FBA and BIP </w:t>
      </w:r>
    </w:p>
    <w:p w:rsidR="4AB55421" w:rsidP="6010A6EA" w:rsidRDefault="4AB55421" w14:paraId="227EB3AA" w14:textId="6D136063">
      <w:pPr>
        <w:pStyle w:val="Normal"/>
        <w:ind w:left="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f53a20988834eb1"/>
      <w:footerReference w:type="default" r:id="R3bfcd7f9fed54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170"/>
      <w:gridCol w:w="2070"/>
      <w:gridCol w:w="3120"/>
    </w:tblGrid>
    <w:tr w:rsidR="20254D6B" w:rsidTr="6010A6EA" w14:paraId="5BEDEE39">
      <w:trPr>
        <w:trHeight w:val="300"/>
      </w:trPr>
      <w:tc>
        <w:tcPr>
          <w:tcW w:w="4170" w:type="dxa"/>
          <w:tcMar/>
        </w:tcPr>
        <w:p w:rsidR="20254D6B" w:rsidP="20254D6B" w:rsidRDefault="20254D6B" w14:paraId="25BDAE36" w14:textId="0CDC657D">
          <w:pPr>
            <w:bidi w:val="0"/>
            <w:spacing w:before="0" w:beforeAutospacing="off" w:after="160" w:afterAutospacing="off" w:line="259" w:lineRule="auto"/>
            <w:jc w:val="left"/>
            <w:rPr>
              <w:noProof w:val="0"/>
              <w:lang w:val="en-US"/>
            </w:rPr>
          </w:pPr>
          <w:r w:rsidRPr="20254D6B" w:rsidR="20254D6B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201F1E"/>
              <w:sz w:val="20"/>
              <w:szCs w:val="20"/>
              <w:lang w:val="en-US"/>
            </w:rPr>
            <w:t>Funded by ISBE IDEA Part B Federal Grant</w:t>
          </w:r>
        </w:p>
        <w:p w:rsidR="20254D6B" w:rsidP="20254D6B" w:rsidRDefault="20254D6B" w14:paraId="54B6934D" w14:textId="79F33E09">
          <w:pPr>
            <w:pStyle w:val="Header"/>
            <w:bidi w:val="0"/>
            <w:ind w:left="-115"/>
            <w:jc w:val="left"/>
          </w:pPr>
        </w:p>
      </w:tc>
      <w:tc>
        <w:tcPr>
          <w:tcW w:w="2070" w:type="dxa"/>
          <w:tcMar/>
        </w:tcPr>
        <w:p w:rsidR="20254D6B" w:rsidP="20254D6B" w:rsidRDefault="20254D6B" w14:paraId="485BDA34" w14:textId="546544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254D6B" w:rsidP="20254D6B" w:rsidRDefault="20254D6B" w14:paraId="13CDC4A4" w14:textId="048A60A6">
          <w:pPr>
            <w:pStyle w:val="Header"/>
            <w:bidi w:val="0"/>
            <w:ind w:right="-115"/>
            <w:jc w:val="right"/>
          </w:pPr>
          <w:r w:rsidR="6010A6EA">
            <w:rPr/>
            <w:t>Last updated:</w:t>
          </w:r>
          <w:r w:rsidR="6010A6EA">
            <w:rPr/>
            <w:t xml:space="preserve"> 7/18/24</w:t>
          </w:r>
          <w:r w:rsidR="6010A6EA">
            <w:rPr/>
            <w:t xml:space="preserve"> </w:t>
          </w:r>
        </w:p>
      </w:tc>
    </w:tr>
  </w:tbl>
  <w:p w:rsidR="20254D6B" w:rsidP="20254D6B" w:rsidRDefault="20254D6B" w14:paraId="78146079" w14:textId="7157EF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254D6B" w:rsidTr="6010A6EA" w14:paraId="74F2D993">
      <w:trPr>
        <w:trHeight w:val="300"/>
      </w:trPr>
      <w:tc>
        <w:tcPr>
          <w:tcW w:w="3120" w:type="dxa"/>
          <w:tcMar/>
        </w:tcPr>
        <w:p w:rsidR="20254D6B" w:rsidP="6010A6EA" w:rsidRDefault="20254D6B" w14:paraId="4098B08F" w14:textId="7C6069EF">
          <w:pPr>
            <w:pStyle w:val="Header"/>
            <w:ind w:lef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="6010A6EA">
            <w:drawing>
              <wp:inline wp14:editId="255838AC" wp14:anchorId="5E827A73">
                <wp:extent cx="1752600" cy="1418772"/>
                <wp:effectExtent l="0" t="0" r="0" b="0"/>
                <wp:docPr id="13137564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28012f88cf5479a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1752600" cy="1418772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0254D6B" w:rsidP="20254D6B" w:rsidRDefault="20254D6B" w14:paraId="6FF1191D" w14:textId="717734B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254D6B" w:rsidP="20254D6B" w:rsidRDefault="20254D6B" w14:paraId="5BE5CA08" w14:textId="25A460A1">
          <w:pPr>
            <w:pStyle w:val="Header"/>
            <w:bidi w:val="0"/>
            <w:ind w:right="-115"/>
            <w:jc w:val="right"/>
          </w:pPr>
        </w:p>
      </w:tc>
    </w:tr>
  </w:tbl>
  <w:p w:rsidR="20254D6B" w:rsidP="20254D6B" w:rsidRDefault="20254D6B" w14:paraId="14BB4048" w14:textId="6EDF19D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18fa4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1ef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71ee6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587bc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8becc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4a369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e2122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66c90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595b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7230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E0765"/>
    <w:rsid w:val="01163F1A"/>
    <w:rsid w:val="011B797E"/>
    <w:rsid w:val="0376BDD4"/>
    <w:rsid w:val="04C0AD47"/>
    <w:rsid w:val="058DACC5"/>
    <w:rsid w:val="07CC261C"/>
    <w:rsid w:val="0C86C0A5"/>
    <w:rsid w:val="0D7F964D"/>
    <w:rsid w:val="10A0BEFE"/>
    <w:rsid w:val="120E0765"/>
    <w:rsid w:val="1595538C"/>
    <w:rsid w:val="161985AE"/>
    <w:rsid w:val="179F1CF6"/>
    <w:rsid w:val="18ABD0E3"/>
    <w:rsid w:val="1A1A2EBB"/>
    <w:rsid w:val="1A47A144"/>
    <w:rsid w:val="1A48F2A5"/>
    <w:rsid w:val="1BE371A5"/>
    <w:rsid w:val="1C631518"/>
    <w:rsid w:val="1DFEE579"/>
    <w:rsid w:val="1E0E5E7A"/>
    <w:rsid w:val="1F3651AF"/>
    <w:rsid w:val="20254D6B"/>
    <w:rsid w:val="20B6E2C8"/>
    <w:rsid w:val="23ACC2F3"/>
    <w:rsid w:val="23F67110"/>
    <w:rsid w:val="23FCB9A4"/>
    <w:rsid w:val="25F6C917"/>
    <w:rsid w:val="26E463B5"/>
    <w:rsid w:val="281736F3"/>
    <w:rsid w:val="287B59C7"/>
    <w:rsid w:val="28C9E233"/>
    <w:rsid w:val="2A7E46E4"/>
    <w:rsid w:val="2C0182F5"/>
    <w:rsid w:val="2EE3E828"/>
    <w:rsid w:val="2EFF1CDA"/>
    <w:rsid w:val="2F184537"/>
    <w:rsid w:val="31D6EF1F"/>
    <w:rsid w:val="31E9324D"/>
    <w:rsid w:val="320BBEE2"/>
    <w:rsid w:val="337E50DE"/>
    <w:rsid w:val="340C94DA"/>
    <w:rsid w:val="350057CD"/>
    <w:rsid w:val="35EC0556"/>
    <w:rsid w:val="38A620C1"/>
    <w:rsid w:val="39ED9262"/>
    <w:rsid w:val="3A3A15C7"/>
    <w:rsid w:val="3B466F2D"/>
    <w:rsid w:val="3BD10BD9"/>
    <w:rsid w:val="402F4B56"/>
    <w:rsid w:val="40789691"/>
    <w:rsid w:val="413BD02D"/>
    <w:rsid w:val="41A4D3F8"/>
    <w:rsid w:val="432A081B"/>
    <w:rsid w:val="432C0F83"/>
    <w:rsid w:val="436182D9"/>
    <w:rsid w:val="45BF3A9C"/>
    <w:rsid w:val="4661A8DD"/>
    <w:rsid w:val="4728400F"/>
    <w:rsid w:val="4817643E"/>
    <w:rsid w:val="48927BD0"/>
    <w:rsid w:val="489B9660"/>
    <w:rsid w:val="4A0BA3B2"/>
    <w:rsid w:val="4AB55421"/>
    <w:rsid w:val="4BA77413"/>
    <w:rsid w:val="50A0306A"/>
    <w:rsid w:val="50B3E3EB"/>
    <w:rsid w:val="50BFA954"/>
    <w:rsid w:val="5257783F"/>
    <w:rsid w:val="5493DE17"/>
    <w:rsid w:val="59B75AEF"/>
    <w:rsid w:val="5B250143"/>
    <w:rsid w:val="5B7AA3C4"/>
    <w:rsid w:val="5D167425"/>
    <w:rsid w:val="5F3F91F5"/>
    <w:rsid w:val="6010A6EA"/>
    <w:rsid w:val="64686503"/>
    <w:rsid w:val="663F14B9"/>
    <w:rsid w:val="6683D8D7"/>
    <w:rsid w:val="6852DE6B"/>
    <w:rsid w:val="6CCA18E8"/>
    <w:rsid w:val="6F7B8A72"/>
    <w:rsid w:val="71BCDC22"/>
    <w:rsid w:val="739AA52B"/>
    <w:rsid w:val="756C26BB"/>
    <w:rsid w:val="771C523B"/>
    <w:rsid w:val="7ADC5DA4"/>
    <w:rsid w:val="7B8B6274"/>
    <w:rsid w:val="7D62AAEA"/>
    <w:rsid w:val="7E88F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0765"/>
  <w15:chartTrackingRefBased/>
  <w15:docId w15:val="{32B49BD8-9A8A-408B-971A-877971D3F5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f53a20988834eb1" /><Relationship Type="http://schemas.openxmlformats.org/officeDocument/2006/relationships/footer" Target="footer.xml" Id="R3bfcd7f9fed54584" /><Relationship Type="http://schemas.openxmlformats.org/officeDocument/2006/relationships/numbering" Target="numbering.xml" Id="R8e31d761ed804c1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d28012f88cf547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2023-10-11T18:54:03.4406760Z</dcterms:created>
  <dcterms:modified xsi:type="dcterms:W3CDTF">2024-07-18T19:15:06.0218508Z</dcterms:modified>
  <dc:creator>Connet, Michelle L</dc:creator>
  <lastModifiedBy>Connet, Michelle L</lastModifiedBy>
</coreProperties>
</file>